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AC" w:rsidRDefault="00E509AC" w:rsidP="00CC3F9E">
      <w:pPr>
        <w:pStyle w:val="Telo"/>
      </w:pPr>
      <w:bookmarkStart w:id="0" w:name="_GoBack"/>
      <w:bookmarkEnd w:id="0"/>
    </w:p>
    <w:p w:rsidR="0081764A" w:rsidRPr="00CC3F9E" w:rsidRDefault="00673A15">
      <w:pPr>
        <w:pStyle w:val="Nzov1"/>
        <w:rPr>
          <w:color w:val="0079A3" w:themeColor="accent1" w:themeShade="BF"/>
          <w:sz w:val="52"/>
          <w:szCs w:val="52"/>
        </w:rPr>
      </w:pPr>
      <w:r w:rsidRPr="00CC3F9E">
        <w:rPr>
          <w:color w:val="0079A3" w:themeColor="accent1" w:themeShade="BF"/>
          <w:sz w:val="52"/>
          <w:szCs w:val="52"/>
        </w:rPr>
        <w:t>Okrúhly stôl XXL</w:t>
      </w:r>
      <w:r w:rsidR="00917B39" w:rsidRPr="00CC3F9E">
        <w:rPr>
          <w:color w:val="0079A3" w:themeColor="accent1" w:themeShade="BF"/>
          <w:sz w:val="52"/>
          <w:szCs w:val="52"/>
        </w:rPr>
        <w:t xml:space="preserve"> 2.ročník</w:t>
      </w:r>
    </w:p>
    <w:p w:rsidR="0081764A" w:rsidRPr="00CC3F9E" w:rsidRDefault="00CC3F9E" w:rsidP="00CC3F9E">
      <w:pPr>
        <w:pStyle w:val="Podnadpis"/>
        <w:rPr>
          <w:color w:val="0079A3" w:themeColor="accent1" w:themeShade="BF"/>
          <w:sz w:val="32"/>
          <w:szCs w:val="32"/>
        </w:rPr>
      </w:pPr>
      <w:r w:rsidRPr="00CC3F9E">
        <w:rPr>
          <w:color w:val="0079A3" w:themeColor="accent1" w:themeShade="BF"/>
          <w:sz w:val="32"/>
          <w:szCs w:val="32"/>
        </w:rPr>
        <w:t>Sylaby</w:t>
      </w:r>
    </w:p>
    <w:p w:rsidR="00CC3F9E" w:rsidRDefault="00CC3F9E" w:rsidP="00CC3F9E">
      <w:pPr>
        <w:pStyle w:val="Telo1"/>
        <w:numPr>
          <w:ilvl w:val="0"/>
          <w:numId w:val="1"/>
        </w:numPr>
        <w:rPr>
          <w:sz w:val="28"/>
          <w:szCs w:val="28"/>
        </w:rPr>
      </w:pPr>
      <w:r w:rsidRPr="00CC3F9E">
        <w:rPr>
          <w:b/>
          <w:sz w:val="28"/>
          <w:szCs w:val="28"/>
        </w:rPr>
        <w:t>S</w:t>
      </w:r>
      <w:r w:rsidR="00917B39" w:rsidRPr="00CC3F9E">
        <w:rPr>
          <w:b/>
          <w:sz w:val="28"/>
          <w:szCs w:val="28"/>
        </w:rPr>
        <w:t xml:space="preserve">účasná situácia v oftalmológii na východnom Slovensku </w:t>
      </w:r>
      <w:r w:rsidR="00AE18D8" w:rsidRPr="00CC3F9E">
        <w:rPr>
          <w:b/>
          <w:sz w:val="28"/>
          <w:szCs w:val="28"/>
        </w:rPr>
        <w:t>v číslach</w:t>
      </w:r>
      <w:r w:rsidR="00AE18D8">
        <w:rPr>
          <w:sz w:val="28"/>
          <w:szCs w:val="28"/>
        </w:rPr>
        <w:t xml:space="preserve"> </w:t>
      </w:r>
      <w:r>
        <w:rPr>
          <w:sz w:val="28"/>
          <w:szCs w:val="28"/>
        </w:rPr>
        <w:t>...</w:t>
      </w:r>
    </w:p>
    <w:p w:rsidR="00917B39" w:rsidRPr="00E509AC" w:rsidRDefault="00CC3F9E" w:rsidP="00CC3F9E">
      <w:pPr>
        <w:pStyle w:val="Telo1"/>
        <w:ind w:left="720"/>
        <w:rPr>
          <w:sz w:val="28"/>
          <w:szCs w:val="28"/>
        </w:rPr>
      </w:pPr>
      <w:r>
        <w:rPr>
          <w:sz w:val="28"/>
          <w:szCs w:val="28"/>
        </w:rPr>
        <w:t>Podkladom prednášky sú niekoľko rokokov zbierané údaje o počtoch operácií,operetérov u dôležitých a najčastejších diagnóz.</w:t>
      </w:r>
    </w:p>
    <w:p w:rsidR="00CC3F9E" w:rsidRDefault="00917B39" w:rsidP="00CC3F9E">
      <w:pPr>
        <w:pStyle w:val="Telo1"/>
        <w:numPr>
          <w:ilvl w:val="0"/>
          <w:numId w:val="1"/>
        </w:numPr>
        <w:rPr>
          <w:sz w:val="28"/>
          <w:szCs w:val="28"/>
        </w:rPr>
      </w:pPr>
      <w:r w:rsidRPr="00CC3F9E">
        <w:rPr>
          <w:b/>
          <w:sz w:val="28"/>
          <w:szCs w:val="28"/>
        </w:rPr>
        <w:t>Eliminácia forenzných následkov v oftalmológii ...</w:t>
      </w:r>
      <w:r w:rsidRPr="00E509AC">
        <w:rPr>
          <w:sz w:val="28"/>
          <w:szCs w:val="28"/>
        </w:rPr>
        <w:t xml:space="preserve"> </w:t>
      </w:r>
    </w:p>
    <w:p w:rsidR="00917B39" w:rsidRDefault="00CC3F9E" w:rsidP="00CC3F9E">
      <w:pPr>
        <w:pStyle w:val="Telo1"/>
        <w:ind w:left="720"/>
        <w:rPr>
          <w:sz w:val="28"/>
          <w:szCs w:val="28"/>
        </w:rPr>
      </w:pPr>
      <w:r>
        <w:rPr>
          <w:sz w:val="28"/>
          <w:szCs w:val="28"/>
        </w:rPr>
        <w:t>Prednáška poukazuje na najčastejšie chyby, ktorých sa môžeme v oftalmolog.praxi dopustiť.Upozorňuje na možnosti , ako sa im vyhnúť.</w:t>
      </w:r>
    </w:p>
    <w:p w:rsidR="00CC3F9E" w:rsidRDefault="00CC3F9E" w:rsidP="00CC3F9E">
      <w:pPr>
        <w:pStyle w:val="Telo1"/>
        <w:ind w:left="720"/>
        <w:rPr>
          <w:sz w:val="28"/>
          <w:szCs w:val="28"/>
        </w:rPr>
      </w:pPr>
      <w:r>
        <w:rPr>
          <w:sz w:val="28"/>
          <w:szCs w:val="28"/>
        </w:rPr>
        <w:t>Umožňuje rozvinutie širokej diskusie na túto tému.</w:t>
      </w:r>
    </w:p>
    <w:p w:rsidR="00AE18D8" w:rsidRDefault="00AE18D8" w:rsidP="00AE18D8">
      <w:pPr>
        <w:pStyle w:val="Telo1"/>
        <w:numPr>
          <w:ilvl w:val="0"/>
          <w:numId w:val="1"/>
        </w:numPr>
        <w:rPr>
          <w:sz w:val="28"/>
          <w:szCs w:val="28"/>
        </w:rPr>
      </w:pPr>
      <w:r w:rsidRPr="00CC3F9E">
        <w:rPr>
          <w:b/>
          <w:sz w:val="28"/>
          <w:szCs w:val="28"/>
        </w:rPr>
        <w:t>Chirurgia glaukómu</w:t>
      </w:r>
      <w:r>
        <w:rPr>
          <w:sz w:val="28"/>
          <w:szCs w:val="28"/>
        </w:rPr>
        <w:t xml:space="preserve">... </w:t>
      </w:r>
    </w:p>
    <w:p w:rsidR="00CC3F9E" w:rsidRDefault="00CC3F9E" w:rsidP="00CC3F9E">
      <w:pPr>
        <w:pStyle w:val="Telo1"/>
        <w:ind w:left="720"/>
        <w:rPr>
          <w:sz w:val="28"/>
          <w:szCs w:val="28"/>
        </w:rPr>
      </w:pPr>
      <w:r>
        <w:rPr>
          <w:sz w:val="28"/>
          <w:szCs w:val="28"/>
        </w:rPr>
        <w:t>V súčasnosti glaukóm predstavuje najrozšírenejšiu konzervatívne liečenú nozologickú jednotku.Autor poukazuje na poškodenie oka spôsobené dlhodobou liečbou a možnosti chirurg.riešenia , ktoré túto chron.liečbu buď celkom, alebo čiastočne eliminujú.</w:t>
      </w:r>
    </w:p>
    <w:p w:rsidR="00CC3F9E" w:rsidRDefault="00CC3F9E" w:rsidP="00CC3F9E">
      <w:pPr>
        <w:pStyle w:val="Telo1"/>
        <w:ind w:left="72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917B39" w:rsidRPr="00CC3F9E">
        <w:rPr>
          <w:b/>
          <w:sz w:val="28"/>
          <w:szCs w:val="28"/>
        </w:rPr>
        <w:t>Operácie zadného segmentu v podmienkach JAS</w:t>
      </w:r>
      <w:r w:rsidR="00917B39" w:rsidRPr="00E509AC">
        <w:rPr>
          <w:sz w:val="28"/>
          <w:szCs w:val="28"/>
        </w:rPr>
        <w:t xml:space="preserve"> ...</w:t>
      </w:r>
      <w:r w:rsidRPr="00E509AC">
        <w:rPr>
          <w:sz w:val="28"/>
          <w:szCs w:val="28"/>
        </w:rPr>
        <w:t xml:space="preserve"> </w:t>
      </w:r>
    </w:p>
    <w:p w:rsidR="00CC3F9E" w:rsidRDefault="00CC3F9E" w:rsidP="00CC3F9E">
      <w:pPr>
        <w:pStyle w:val="Telo1"/>
        <w:ind w:left="720"/>
        <w:rPr>
          <w:sz w:val="28"/>
          <w:szCs w:val="28"/>
        </w:rPr>
      </w:pPr>
      <w:r w:rsidRPr="00CC3F9E">
        <w:rPr>
          <w:sz w:val="28"/>
          <w:szCs w:val="28"/>
        </w:rPr>
        <w:t>V</w:t>
      </w:r>
      <w:r>
        <w:rPr>
          <w:sz w:val="28"/>
          <w:szCs w:val="28"/>
        </w:rPr>
        <w:t>o svete je operácia zadného segmentu oka veľmi často realizovaná v podmienkach JAS. Na Slovensku je to zriedkavé.</w:t>
      </w:r>
    </w:p>
    <w:p w:rsidR="00CC3F9E" w:rsidRDefault="00CC3F9E" w:rsidP="00CC3F9E">
      <w:pPr>
        <w:pStyle w:val="Telo1"/>
        <w:ind w:left="720"/>
        <w:rPr>
          <w:sz w:val="28"/>
          <w:szCs w:val="28"/>
        </w:rPr>
      </w:pPr>
      <w:r>
        <w:rPr>
          <w:sz w:val="28"/>
          <w:szCs w:val="28"/>
        </w:rPr>
        <w:t>Prednáška sa zaoberá jedným z pracovísk, ktoré tento typ chirurgie realizuje.</w:t>
      </w:r>
    </w:p>
    <w:p w:rsidR="00CC3F9E" w:rsidRDefault="00CC3F9E" w:rsidP="00CC3F9E">
      <w:pPr>
        <w:pStyle w:val="Telo1"/>
        <w:ind w:left="720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917B39" w:rsidRPr="00CC3F9E">
        <w:rPr>
          <w:b/>
          <w:sz w:val="28"/>
          <w:szCs w:val="28"/>
        </w:rPr>
        <w:t>Úskalia biometrie pred operáciou katarakty</w:t>
      </w:r>
      <w:r w:rsidR="00AE18D8" w:rsidRPr="00CC3F9E">
        <w:rPr>
          <w:b/>
          <w:sz w:val="28"/>
          <w:szCs w:val="28"/>
        </w:rPr>
        <w:t xml:space="preserve"> .</w:t>
      </w:r>
      <w:r w:rsidR="00AE18D8">
        <w:rPr>
          <w:sz w:val="28"/>
          <w:szCs w:val="28"/>
        </w:rPr>
        <w:t xml:space="preserve">.. </w:t>
      </w:r>
    </w:p>
    <w:p w:rsidR="00917B39" w:rsidRDefault="00CC3F9E" w:rsidP="00CC3F9E">
      <w:pPr>
        <w:pStyle w:val="Telo1"/>
        <w:ind w:left="720"/>
        <w:rPr>
          <w:sz w:val="28"/>
          <w:szCs w:val="28"/>
        </w:rPr>
      </w:pPr>
      <w:r>
        <w:rPr>
          <w:sz w:val="28"/>
          <w:szCs w:val="28"/>
        </w:rPr>
        <w:t>Moderná operácia katarakty môže byť dnes považovaná za refrakčnú hlavne preto, že výborný refrak.výsledok je všeobecne očakávaný pacientami aj chirurgom.Existuje však niekoľko stavov,ktoré predstavujú prekážky v plánovaní chir.zákroku, čo do výberu opt.sily vnútroočnej šošovky,voľby vstupu do oka , ale aj voľby patričného výpočtu ,čí prípadnej do-korekcie.</w:t>
      </w:r>
    </w:p>
    <w:p w:rsidR="0095363F" w:rsidRDefault="0095363F" w:rsidP="0095363F">
      <w:pPr>
        <w:pStyle w:val="Telo1"/>
        <w:ind w:left="360"/>
        <w:rPr>
          <w:rFonts w:asciiTheme="majorHAnsi" w:hAnsiTheme="majorHAnsi"/>
          <w:b/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95363F">
        <w:rPr>
          <w:rFonts w:ascii="Andale Mono" w:hAnsi="Andale Mono"/>
          <w:sz w:val="20"/>
          <w:szCs w:val="20"/>
        </w:rPr>
        <w:t xml:space="preserve"> </w:t>
      </w:r>
      <w:r w:rsidRPr="0095363F">
        <w:rPr>
          <w:rFonts w:asciiTheme="majorHAnsi" w:hAnsiTheme="majorHAnsi"/>
          <w:b/>
          <w:sz w:val="28"/>
          <w:szCs w:val="28"/>
        </w:rPr>
        <w:t>Multifokálne šošovky.Princíp : správny pacient – správna šošovka</w:t>
      </w:r>
    </w:p>
    <w:p w:rsidR="0095363F" w:rsidRPr="0095363F" w:rsidRDefault="003B48E4" w:rsidP="0095363F">
      <w:pPr>
        <w:pStyle w:val="Telo1"/>
        <w:ind w:left="360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>Pri plánovaní operácie katarakty je dôležité brať do úvahy pacienta ako celok hlavne preto,že máme k dispozácii dnes už niekoľko druhov šošoviek, ktoré umožňujú vízus tak do diaľky ako aj do blízka.Ide však vždy o istú mieru kompromisu a preto je nevyhnutné vytvoriť typológiu pacienta , na základe ktorej sme schopní lepšie odhadnúť mieru tolerancie tohto kompromisu.</w:t>
      </w:r>
    </w:p>
    <w:p w:rsidR="0095363F" w:rsidRPr="00E509AC" w:rsidRDefault="0095363F" w:rsidP="00CC3F9E">
      <w:pPr>
        <w:pStyle w:val="Telo1"/>
        <w:ind w:left="720"/>
        <w:rPr>
          <w:sz w:val="28"/>
          <w:szCs w:val="28"/>
        </w:rPr>
      </w:pPr>
    </w:p>
    <w:p w:rsidR="00917B39" w:rsidRDefault="00917B39" w:rsidP="00917B39">
      <w:pPr>
        <w:pStyle w:val="Telo1"/>
        <w:ind w:left="720"/>
      </w:pPr>
    </w:p>
    <w:sectPr w:rsidR="00917B39">
      <w:headerReference w:type="default" r:id="rId7"/>
      <w:footerReference w:type="default" r:id="rId8"/>
      <w:pgSz w:w="11906" w:h="16838"/>
      <w:pgMar w:top="1196" w:right="1202" w:bottom="1417" w:left="1134" w:header="567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A5" w:rsidRDefault="009437A5">
      <w:r>
        <w:separator/>
      </w:r>
    </w:p>
  </w:endnote>
  <w:endnote w:type="continuationSeparator" w:id="0">
    <w:p w:rsidR="009437A5" w:rsidRDefault="0094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Andale Mono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4A" w:rsidRDefault="0081764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A5" w:rsidRDefault="009437A5">
      <w:r>
        <w:separator/>
      </w:r>
    </w:p>
  </w:footnote>
  <w:footnote w:type="continuationSeparator" w:id="0">
    <w:p w:rsidR="009437A5" w:rsidRDefault="0094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4A" w:rsidRDefault="0081764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173"/>
    <w:multiLevelType w:val="hybridMultilevel"/>
    <w:tmpl w:val="FC62F2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4A"/>
    <w:rsid w:val="00396BE2"/>
    <w:rsid w:val="003B1E5E"/>
    <w:rsid w:val="003B48E4"/>
    <w:rsid w:val="00673A15"/>
    <w:rsid w:val="00752FAE"/>
    <w:rsid w:val="0081764A"/>
    <w:rsid w:val="00917B39"/>
    <w:rsid w:val="009437A5"/>
    <w:rsid w:val="0095363F"/>
    <w:rsid w:val="00AE18D8"/>
    <w:rsid w:val="00B86E40"/>
    <w:rsid w:val="00CC3F9E"/>
    <w:rsid w:val="00E5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2C15D-F5E4-4C6A-AB97-980EF8B4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Telo">
    <w:name w:val="Telo"/>
    <w:pPr>
      <w:spacing w:before="80" w:after="180" w:line="288" w:lineRule="auto"/>
    </w:pPr>
    <w:rPr>
      <w:rFonts w:ascii="Georgia" w:hAnsi="Georgia" w:cs="Arial Unicode MS"/>
      <w:color w:val="000000"/>
      <w:sz w:val="24"/>
      <w:szCs w:val="24"/>
    </w:rPr>
  </w:style>
  <w:style w:type="paragraph" w:customStyle="1" w:styleId="Nzov1">
    <w:name w:val="Názov1"/>
    <w:pPr>
      <w:pBdr>
        <w:top w:val="single" w:sz="2" w:space="0" w:color="3F3F3E"/>
        <w:bottom w:val="single" w:sz="2" w:space="0" w:color="3F3F3E"/>
      </w:pBdr>
    </w:pPr>
    <w:rPr>
      <w:rFonts w:ascii="Georgia" w:hAnsi="Georgia" w:cs="Arial Unicode MS"/>
      <w:color w:val="004B64"/>
      <w:sz w:val="128"/>
      <w:szCs w:val="128"/>
    </w:rPr>
  </w:style>
  <w:style w:type="paragraph" w:customStyle="1" w:styleId="Podnadpis">
    <w:name w:val="Podnadpis"/>
    <w:next w:val="Telo1"/>
    <w:pPr>
      <w:keepNext/>
      <w:spacing w:before="360" w:after="40"/>
      <w:outlineLvl w:val="1"/>
    </w:pPr>
    <w:rPr>
      <w:rFonts w:ascii="Georgia" w:hAnsi="Georgia" w:cs="Arial Unicode MS"/>
      <w:color w:val="00A3DA"/>
      <w:sz w:val="48"/>
      <w:szCs w:val="48"/>
    </w:rPr>
  </w:style>
  <w:style w:type="paragraph" w:customStyle="1" w:styleId="Telo1">
    <w:name w:val="Telo 1"/>
    <w:pPr>
      <w:spacing w:before="80" w:after="180" w:line="288" w:lineRule="auto"/>
    </w:pPr>
    <w:rPr>
      <w:rFonts w:ascii="Georgia" w:hAnsi="Georgia" w:cs="Arial Unicode MS"/>
      <w:color w:val="000000"/>
      <w:sz w:val="22"/>
      <w:szCs w:val="22"/>
    </w:rPr>
  </w:style>
  <w:style w:type="paragraph" w:customStyle="1" w:styleId="Nadpis21">
    <w:name w:val="Nadpis 21"/>
    <w:pPr>
      <w:pBdr>
        <w:bottom w:val="single" w:sz="8" w:space="0" w:color="C0C0C0"/>
      </w:pBdr>
      <w:spacing w:after="80"/>
    </w:pPr>
    <w:rPr>
      <w:rFonts w:ascii="Helvetica Neue Light" w:hAnsi="Helvetica Neue Light" w:cs="Arial Unicode MS"/>
      <w:color w:val="7A797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7_ePub_Mac">
  <a:themeElements>
    <a:clrScheme name="07_ePub_Mac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ePub_Mac">
      <a:majorFont>
        <a:latin typeface="Georgia"/>
        <a:ea typeface="Georgia"/>
        <a:cs typeface="Georgia"/>
      </a:majorFont>
      <a:minorFont>
        <a:latin typeface="Georgia"/>
        <a:ea typeface="Georgia"/>
        <a:cs typeface="Georgia"/>
      </a:minorFont>
    </a:fontScheme>
    <a:fmtScheme name="07_ePub_Mac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7F7F7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Dabocziova, Alena {MWXN~Bratislava}</dc:creator>
  <cp:lastModifiedBy>Henrieta Havlikova</cp:lastModifiedBy>
  <cp:revision>2</cp:revision>
  <cp:lastPrinted>2017-10-28T06:22:00Z</cp:lastPrinted>
  <dcterms:created xsi:type="dcterms:W3CDTF">2017-11-06T13:18:00Z</dcterms:created>
  <dcterms:modified xsi:type="dcterms:W3CDTF">2017-11-06T13:18:00Z</dcterms:modified>
</cp:coreProperties>
</file>