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8F1A24">
        <w:rPr>
          <w:color w:val="262626" w:themeColor="text1" w:themeTint="D9"/>
          <w:sz w:val="36"/>
        </w:rPr>
        <w:t>12.10.2017 od 14:0</w:t>
      </w:r>
      <w:r w:rsidR="000450A0">
        <w:rPr>
          <w:color w:val="262626" w:themeColor="text1" w:themeTint="D9"/>
          <w:sz w:val="36"/>
        </w:rPr>
        <w:t>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8F1A24">
        <w:rPr>
          <w:color w:val="262626" w:themeColor="text1" w:themeTint="D9"/>
          <w:sz w:val="36"/>
        </w:rPr>
        <w:t xml:space="preserve">Košice, I. Interná klinika UN L. </w:t>
      </w:r>
      <w:proofErr w:type="spellStart"/>
      <w:r w:rsidR="008F1A24">
        <w:rPr>
          <w:color w:val="262626" w:themeColor="text1" w:themeTint="D9"/>
          <w:sz w:val="36"/>
        </w:rPr>
        <w:t>Pasteura</w:t>
      </w:r>
      <w:proofErr w:type="spellEnd"/>
    </w:p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4EA01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F40C91" w:rsidRPr="00F40C91">
        <w:rPr>
          <w:i/>
          <w:color w:val="262626" w:themeColor="text1" w:themeTint="D9"/>
          <w:sz w:val="36"/>
        </w:rPr>
        <w:t xml:space="preserve">MUDr. </w:t>
      </w:r>
      <w:r w:rsidR="008F1A24">
        <w:rPr>
          <w:i/>
          <w:color w:val="262626" w:themeColor="text1" w:themeTint="D9"/>
          <w:sz w:val="36"/>
        </w:rPr>
        <w:t xml:space="preserve">Mikuláš </w:t>
      </w:r>
      <w:r w:rsidR="008F1A24" w:rsidRPr="008F1A24">
        <w:rPr>
          <w:i/>
          <w:color w:val="262626" w:themeColor="text1" w:themeTint="D9"/>
          <w:sz w:val="36"/>
        </w:rPr>
        <w:t>Szakács</w:t>
      </w:r>
      <w:bookmarkStart w:id="0" w:name="_GoBack"/>
      <w:bookmarkEnd w:id="0"/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C3A" w:rsidRDefault="002A2C3A" w:rsidP="009060CA">
      <w:pPr>
        <w:spacing w:after="0" w:line="240" w:lineRule="auto"/>
      </w:pPr>
      <w:r>
        <w:separator/>
      </w:r>
    </w:p>
  </w:endnote>
  <w:endnote w:type="continuationSeparator" w:id="0">
    <w:p w:rsidR="002A2C3A" w:rsidRDefault="002A2C3A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C3A" w:rsidRDefault="002A2C3A" w:rsidP="009060CA">
      <w:pPr>
        <w:spacing w:after="0" w:line="240" w:lineRule="auto"/>
      </w:pPr>
      <w:r>
        <w:separator/>
      </w:r>
    </w:p>
  </w:footnote>
  <w:footnote w:type="continuationSeparator" w:id="0">
    <w:p w:rsidR="002A2C3A" w:rsidRDefault="002A2C3A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33C43"/>
    <w:rsid w:val="000450A0"/>
    <w:rsid w:val="00051ACF"/>
    <w:rsid w:val="00116CB1"/>
    <w:rsid w:val="001357AA"/>
    <w:rsid w:val="002A2C3A"/>
    <w:rsid w:val="00363D7D"/>
    <w:rsid w:val="00395D41"/>
    <w:rsid w:val="003E3AF6"/>
    <w:rsid w:val="0047222C"/>
    <w:rsid w:val="00484862"/>
    <w:rsid w:val="004E72C8"/>
    <w:rsid w:val="0065662B"/>
    <w:rsid w:val="008F1A24"/>
    <w:rsid w:val="009060CA"/>
    <w:rsid w:val="00914146"/>
    <w:rsid w:val="00A15CA5"/>
    <w:rsid w:val="00A21B98"/>
    <w:rsid w:val="00AF77CE"/>
    <w:rsid w:val="00BD5E74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7363B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2017-09-21T07:22:00Z</dcterms:created>
  <dcterms:modified xsi:type="dcterms:W3CDTF">2017-09-21T07:22:00Z</dcterms:modified>
</cp:coreProperties>
</file>